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160" w:type="dxa"/>
        <w:tblInd w:w="-702" w:type="dxa"/>
        <w:tblLayout w:type="fixed"/>
        <w:tblLook w:val="0000"/>
      </w:tblPr>
      <w:tblGrid>
        <w:gridCol w:w="2700"/>
        <w:gridCol w:w="270"/>
        <w:gridCol w:w="8190"/>
      </w:tblGrid>
      <w:tr w:rsidR="004D2F1D" w:rsidTr="00460340">
        <w:tblPrEx>
          <w:tblCellMar>
            <w:top w:w="0" w:type="dxa"/>
            <w:bottom w:w="0" w:type="dxa"/>
          </w:tblCellMar>
        </w:tblPrEx>
        <w:trPr>
          <w:cantSplit/>
          <w:trHeight w:val="13379"/>
        </w:trPr>
        <w:tc>
          <w:tcPr>
            <w:tcW w:w="2700" w:type="dxa"/>
            <w:tcBorders>
              <w:top w:val="nil"/>
              <w:left w:val="nil"/>
              <w:bottom w:val="nil"/>
              <w:right w:val="nil"/>
            </w:tcBorders>
          </w:tcPr>
          <w:p w:rsidR="004D2F1D" w:rsidRPr="00104987" w:rsidRDefault="004D2F1D">
            <w:pPr>
              <w:jc w:val="right"/>
              <w:rPr>
                <w:rFonts w:ascii="Monotype Corsiva" w:hAnsi="Monotype Corsiva" w:cs="Arial"/>
                <w:b/>
                <w:bCs/>
                <w:i/>
                <w:iCs/>
                <w:color w:val="0000FF"/>
                <w:sz w:val="48"/>
                <w:szCs w:val="48"/>
              </w:rPr>
            </w:pPr>
            <w:r>
              <w:br w:type="page"/>
            </w:r>
            <w:r w:rsidRPr="00104987">
              <w:rPr>
                <w:rFonts w:ascii="Monotype Corsiva" w:hAnsi="Monotype Corsiva" w:cs="Arial"/>
                <w:color w:val="0000FF"/>
                <w:sz w:val="48"/>
                <w:szCs w:val="48"/>
                <w:lang w:val="en-CA"/>
              </w:rPr>
              <w:fldChar w:fldCharType="begin"/>
            </w:r>
            <w:r w:rsidRPr="00104987">
              <w:rPr>
                <w:rFonts w:ascii="Monotype Corsiva" w:hAnsi="Monotype Corsiva" w:cs="Arial"/>
                <w:color w:val="0000FF"/>
                <w:sz w:val="48"/>
                <w:szCs w:val="48"/>
                <w:lang w:val="en-CA"/>
              </w:rPr>
              <w:instrText xml:space="preserve"> SEQ CHAPTER \h \r 1</w:instrText>
            </w:r>
            <w:r w:rsidRPr="00104987">
              <w:rPr>
                <w:rFonts w:ascii="Monotype Corsiva" w:hAnsi="Monotype Corsiva" w:cs="Arial"/>
                <w:color w:val="0000FF"/>
                <w:sz w:val="48"/>
                <w:szCs w:val="48"/>
                <w:lang w:val="en-CA"/>
              </w:rPr>
              <w:fldChar w:fldCharType="end"/>
            </w:r>
            <w:r w:rsidRPr="00104987">
              <w:rPr>
                <w:rFonts w:ascii="Monotype Corsiva" w:hAnsi="Monotype Corsiva" w:cs="Arial"/>
                <w:b/>
                <w:bCs/>
                <w:i/>
                <w:iCs/>
                <w:color w:val="0000FF"/>
                <w:sz w:val="48"/>
                <w:szCs w:val="48"/>
              </w:rPr>
              <w:t>The MAPS</w:t>
            </w:r>
          </w:p>
          <w:p w:rsidR="004D2F1D" w:rsidRPr="00E33D14" w:rsidRDefault="004D2F1D" w:rsidP="00104987">
            <w:pPr>
              <w:pStyle w:val="Heading2"/>
              <w:rPr>
                <w:sz w:val="40"/>
                <w:szCs w:val="40"/>
              </w:rPr>
            </w:pPr>
            <w:r w:rsidRPr="00104987">
              <w:rPr>
                <w:sz w:val="48"/>
                <w:szCs w:val="48"/>
              </w:rPr>
              <w:t xml:space="preserve">    Group</w:t>
            </w:r>
          </w:p>
          <w:p w:rsidR="004D2F1D" w:rsidRPr="00104987" w:rsidRDefault="004D2F1D">
            <w:pPr>
              <w:rPr>
                <w:rFonts w:ascii="Arial Black" w:hAnsi="Arial Black"/>
                <w:i/>
                <w:iCs/>
                <w:color w:val="0000FF"/>
                <w:sz w:val="40"/>
                <w:szCs w:val="40"/>
              </w:rPr>
            </w:pPr>
          </w:p>
          <w:p w:rsidR="004D2F1D" w:rsidRPr="00104987" w:rsidRDefault="004D2F1D">
            <w:pPr>
              <w:jc w:val="right"/>
              <w:rPr>
                <w:rFonts w:ascii="Arial" w:hAnsi="Arial" w:cs="Arial"/>
                <w:color w:val="0000FF"/>
                <w:sz w:val="22"/>
                <w:szCs w:val="22"/>
              </w:rPr>
            </w:pPr>
            <w:r w:rsidRPr="00104987">
              <w:rPr>
                <w:rFonts w:ascii="Arial" w:hAnsi="Arial" w:cs="Arial"/>
                <w:color w:val="0000FF"/>
                <w:sz w:val="22"/>
                <w:szCs w:val="22"/>
              </w:rPr>
              <w:t>Management</w:t>
            </w:r>
          </w:p>
          <w:p w:rsidR="004D2F1D" w:rsidRPr="00104987" w:rsidRDefault="004D2F1D">
            <w:pPr>
              <w:jc w:val="right"/>
              <w:rPr>
                <w:rFonts w:ascii="Arial" w:hAnsi="Arial" w:cs="Arial"/>
                <w:color w:val="0000FF"/>
                <w:sz w:val="22"/>
                <w:szCs w:val="22"/>
              </w:rPr>
            </w:pPr>
            <w:r w:rsidRPr="00104987">
              <w:rPr>
                <w:rFonts w:ascii="Arial" w:hAnsi="Arial" w:cs="Arial"/>
                <w:color w:val="0000FF"/>
                <w:sz w:val="22"/>
                <w:szCs w:val="22"/>
              </w:rPr>
              <w:t>and</w:t>
            </w:r>
          </w:p>
          <w:p w:rsidR="004D2F1D" w:rsidRPr="00104987" w:rsidRDefault="004D2F1D">
            <w:pPr>
              <w:jc w:val="right"/>
              <w:rPr>
                <w:rFonts w:ascii="Arial" w:hAnsi="Arial" w:cs="Arial"/>
                <w:color w:val="0000FF"/>
                <w:sz w:val="22"/>
                <w:szCs w:val="22"/>
              </w:rPr>
            </w:pPr>
            <w:r w:rsidRPr="00104987">
              <w:rPr>
                <w:rFonts w:ascii="Arial" w:hAnsi="Arial" w:cs="Arial"/>
                <w:color w:val="0000FF"/>
                <w:sz w:val="22"/>
                <w:szCs w:val="22"/>
              </w:rPr>
              <w:t>Personnel Services</w:t>
            </w:r>
          </w:p>
          <w:p w:rsidR="004D2F1D" w:rsidRPr="00104987" w:rsidRDefault="004D2F1D">
            <w:pPr>
              <w:jc w:val="right"/>
              <w:rPr>
                <w:rFonts w:ascii="Arial" w:hAnsi="Arial" w:cs="Arial"/>
                <w:color w:val="0000FF"/>
                <w:sz w:val="22"/>
                <w:szCs w:val="22"/>
              </w:rPr>
            </w:pPr>
          </w:p>
          <w:p w:rsidR="004D2F1D" w:rsidRPr="00104987" w:rsidRDefault="004D2F1D">
            <w:pPr>
              <w:jc w:val="right"/>
              <w:rPr>
                <w:rFonts w:ascii="Arial" w:hAnsi="Arial" w:cs="Arial"/>
                <w:color w:val="0000FF"/>
                <w:sz w:val="22"/>
                <w:szCs w:val="22"/>
              </w:rPr>
            </w:pPr>
            <w:r w:rsidRPr="00104987">
              <w:rPr>
                <w:rFonts w:ascii="Arial" w:hAnsi="Arial" w:cs="Arial"/>
                <w:color w:val="0000FF"/>
                <w:sz w:val="22"/>
                <w:szCs w:val="22"/>
              </w:rPr>
              <w:t>102 Lochwood West Drive</w:t>
            </w:r>
          </w:p>
          <w:p w:rsidR="004D2F1D" w:rsidRPr="00104987" w:rsidRDefault="004D2F1D">
            <w:pPr>
              <w:jc w:val="right"/>
              <w:rPr>
                <w:rFonts w:ascii="Arial" w:hAnsi="Arial" w:cs="Arial"/>
                <w:color w:val="0000FF"/>
                <w:sz w:val="22"/>
                <w:szCs w:val="22"/>
              </w:rPr>
            </w:pPr>
            <w:r w:rsidRPr="00104987">
              <w:rPr>
                <w:rFonts w:ascii="Arial" w:hAnsi="Arial" w:cs="Arial"/>
                <w:color w:val="0000FF"/>
                <w:sz w:val="22"/>
                <w:szCs w:val="22"/>
              </w:rPr>
              <w:t xml:space="preserve"> Cary, NC 27518</w:t>
            </w:r>
          </w:p>
          <w:p w:rsidR="004D2F1D" w:rsidRPr="00104987" w:rsidRDefault="004D2F1D">
            <w:pPr>
              <w:jc w:val="right"/>
              <w:rPr>
                <w:rFonts w:ascii="Arial" w:hAnsi="Arial" w:cs="Arial"/>
                <w:color w:val="0000FF"/>
                <w:sz w:val="22"/>
                <w:szCs w:val="22"/>
              </w:rPr>
            </w:pPr>
          </w:p>
          <w:p w:rsidR="004D2F1D" w:rsidRPr="00104987" w:rsidRDefault="004D2F1D">
            <w:pPr>
              <w:jc w:val="right"/>
              <w:rPr>
                <w:rFonts w:ascii="Arial" w:hAnsi="Arial" w:cs="Arial"/>
                <w:color w:val="0000FF"/>
                <w:sz w:val="22"/>
                <w:szCs w:val="22"/>
              </w:rPr>
            </w:pPr>
            <w:r w:rsidRPr="00104987">
              <w:rPr>
                <w:rFonts w:ascii="Arial" w:hAnsi="Arial" w:cs="Arial"/>
                <w:color w:val="0000FF"/>
                <w:sz w:val="22"/>
                <w:szCs w:val="22"/>
              </w:rPr>
              <w:t>phone</w:t>
            </w:r>
          </w:p>
          <w:p w:rsidR="004D2F1D" w:rsidRPr="00104987" w:rsidRDefault="004D2F1D">
            <w:pPr>
              <w:jc w:val="right"/>
              <w:rPr>
                <w:rFonts w:ascii="Arial" w:hAnsi="Arial" w:cs="Arial"/>
                <w:color w:val="0000FF"/>
                <w:sz w:val="22"/>
                <w:szCs w:val="22"/>
              </w:rPr>
            </w:pPr>
            <w:r w:rsidRPr="00104987">
              <w:rPr>
                <w:rFonts w:ascii="Arial" w:hAnsi="Arial" w:cs="Arial"/>
                <w:color w:val="0000FF"/>
                <w:sz w:val="22"/>
                <w:szCs w:val="22"/>
              </w:rPr>
              <w:t>(919) 233-3914</w:t>
            </w:r>
          </w:p>
          <w:p w:rsidR="004D2F1D" w:rsidRPr="00104987" w:rsidRDefault="004D2F1D" w:rsidP="00E33D14">
            <w:pPr>
              <w:jc w:val="right"/>
              <w:rPr>
                <w:rFonts w:ascii="Arial" w:hAnsi="Arial" w:cs="Arial"/>
                <w:color w:val="0000FF"/>
                <w:sz w:val="22"/>
                <w:szCs w:val="22"/>
              </w:rPr>
            </w:pPr>
          </w:p>
          <w:p w:rsidR="004D2F1D" w:rsidRPr="00104987" w:rsidRDefault="004D2F1D" w:rsidP="00460340">
            <w:pPr>
              <w:ind w:right="-18"/>
              <w:jc w:val="right"/>
              <w:rPr>
                <w:rFonts w:ascii="Arial" w:hAnsi="Arial" w:cs="Arial"/>
                <w:color w:val="0000FF"/>
                <w:sz w:val="22"/>
                <w:szCs w:val="22"/>
              </w:rPr>
            </w:pPr>
          </w:p>
          <w:p w:rsidR="004D2F1D" w:rsidRPr="00104987"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r w:rsidRPr="00104987">
              <w:rPr>
                <w:rFonts w:ascii="Arial" w:hAnsi="Arial" w:cs="Arial"/>
                <w:color w:val="0000FF"/>
                <w:sz w:val="22"/>
                <w:szCs w:val="22"/>
              </w:rPr>
              <w:t>email</w:t>
            </w:r>
          </w:p>
          <w:p w:rsidR="004D2F1D" w:rsidRPr="00460340" w:rsidRDefault="004D2F1D" w:rsidP="00460340">
            <w:pPr>
              <w:pStyle w:val="BodyText"/>
            </w:pPr>
            <w:r w:rsidRPr="00460340">
              <w:t>bveazey@themapsgroup.com</w:t>
            </w:r>
          </w:p>
          <w:p w:rsidR="004D2F1D" w:rsidRDefault="004D2F1D">
            <w:pPr>
              <w:jc w:val="right"/>
              <w:rPr>
                <w:rFonts w:ascii="Arial" w:hAnsi="Arial" w:cs="Arial"/>
                <w:color w:val="0000FF"/>
              </w:rPr>
            </w:pPr>
          </w:p>
          <w:p w:rsidR="004D2F1D" w:rsidRPr="00E33D14" w:rsidRDefault="004D2F1D">
            <w:pPr>
              <w:jc w:val="right"/>
              <w:rPr>
                <w:rFonts w:ascii="Arial" w:hAnsi="Arial" w:cs="Arial"/>
                <w:color w:val="0000FF"/>
              </w:rPr>
            </w:pPr>
            <w:hyperlink r:id="rId4" w:history="1">
              <w:r w:rsidRPr="000939A3">
                <w:rPr>
                  <w:rStyle w:val="Hyperlink"/>
                  <w:rFonts w:ascii="Arial" w:hAnsi="Arial" w:cs="Arial"/>
                </w:rPr>
                <w:t>themapsgroup.com</w:t>
              </w:r>
            </w:hyperlink>
          </w:p>
          <w:p w:rsidR="004D2F1D" w:rsidRPr="00E33D14" w:rsidRDefault="004D2F1D">
            <w:pPr>
              <w:jc w:val="right"/>
              <w:rPr>
                <w:rFonts w:ascii="Arial" w:hAnsi="Arial" w:cs="Arial"/>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p>
          <w:p w:rsidR="004D2F1D" w:rsidRPr="00E33D14" w:rsidRDefault="004D2F1D">
            <w:pPr>
              <w:jc w:val="right"/>
              <w:rPr>
                <w:rFonts w:ascii="Arial" w:hAnsi="Arial" w:cs="Arial"/>
                <w:color w:val="0000FF"/>
                <w:sz w:val="22"/>
                <w:szCs w:val="22"/>
              </w:rPr>
            </w:pPr>
            <w:r w:rsidRPr="00E33D14">
              <w:rPr>
                <w:rFonts w:ascii="Arial" w:hAnsi="Arial" w:cs="Arial"/>
                <w:color w:val="0000FF"/>
                <w:sz w:val="22"/>
                <w:szCs w:val="22"/>
              </w:rPr>
              <w:t>A consulting group</w:t>
            </w:r>
          </w:p>
          <w:p w:rsidR="004D2F1D" w:rsidRPr="00E33D14" w:rsidRDefault="004D2F1D">
            <w:pPr>
              <w:jc w:val="right"/>
              <w:rPr>
                <w:rFonts w:ascii="Arial" w:hAnsi="Arial" w:cs="Arial"/>
                <w:color w:val="0000FF"/>
                <w:sz w:val="22"/>
                <w:szCs w:val="22"/>
              </w:rPr>
            </w:pPr>
            <w:r w:rsidRPr="00E33D14">
              <w:rPr>
                <w:rFonts w:ascii="Arial" w:hAnsi="Arial" w:cs="Arial"/>
                <w:color w:val="0000FF"/>
                <w:sz w:val="22"/>
                <w:szCs w:val="22"/>
              </w:rPr>
              <w:t>specializing in</w:t>
            </w:r>
          </w:p>
          <w:p w:rsidR="004D2F1D" w:rsidRPr="00E33D14" w:rsidRDefault="004D2F1D">
            <w:pPr>
              <w:jc w:val="right"/>
              <w:rPr>
                <w:color w:val="0000FF"/>
                <w:sz w:val="24"/>
                <w:szCs w:val="24"/>
              </w:rPr>
            </w:pPr>
            <w:r>
              <w:rPr>
                <w:rFonts w:ascii="Arial" w:hAnsi="Arial" w:cs="Arial"/>
                <w:color w:val="0000FF"/>
                <w:sz w:val="22"/>
                <w:szCs w:val="22"/>
              </w:rPr>
              <w:t>Human Resource Management</w:t>
            </w:r>
          </w:p>
        </w:tc>
        <w:tc>
          <w:tcPr>
            <w:tcW w:w="270" w:type="dxa"/>
            <w:tcBorders>
              <w:top w:val="nil"/>
              <w:left w:val="nil"/>
              <w:bottom w:val="nil"/>
              <w:right w:val="nil"/>
            </w:tcBorders>
          </w:tcPr>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p w:rsidR="004D2F1D" w:rsidRPr="00E33D14" w:rsidRDefault="004D2F1D">
            <w:pPr>
              <w:rPr>
                <w:color w:val="0000FF"/>
                <w:sz w:val="24"/>
                <w:szCs w:val="24"/>
              </w:rPr>
            </w:pPr>
          </w:p>
        </w:tc>
        <w:tc>
          <w:tcPr>
            <w:tcW w:w="8190" w:type="dxa"/>
            <w:tcBorders>
              <w:top w:val="nil"/>
              <w:left w:val="nil"/>
              <w:bottom w:val="nil"/>
              <w:right w:val="nil"/>
            </w:tcBorders>
          </w:tcPr>
          <w:p w:rsidR="004D2F1D" w:rsidRPr="00E33D14" w:rsidRDefault="004D2F1D" w:rsidP="00C36857">
            <w:pPr>
              <w:pStyle w:val="Heading1"/>
              <w:jc w:val="center"/>
            </w:pPr>
            <w:r>
              <w:t>Employee/</w:t>
            </w:r>
            <w:r w:rsidRPr="00E33D14">
              <w:t>Supervisory/Management  Development Program</w:t>
            </w:r>
          </w:p>
          <w:p w:rsidR="004D2F1D" w:rsidRDefault="004D2F1D">
            <w:pPr>
              <w:jc w:val="both"/>
              <w:rPr>
                <w:rFonts w:ascii="Arial Narrow" w:hAnsi="Arial Narrow" w:cs="Arial Narrow"/>
                <w:sz w:val="22"/>
                <w:szCs w:val="22"/>
              </w:rPr>
            </w:pPr>
          </w:p>
          <w:p w:rsidR="004D2F1D" w:rsidRPr="00352A14" w:rsidRDefault="004D2F1D">
            <w:pPr>
              <w:jc w:val="both"/>
              <w:rPr>
                <w:rFonts w:ascii="Arial Narrow" w:hAnsi="Arial Narrow" w:cs="Arial Narrow"/>
                <w:i/>
                <w:iCs/>
                <w:sz w:val="22"/>
                <w:szCs w:val="22"/>
              </w:rPr>
            </w:pPr>
            <w:r w:rsidRPr="00352A14">
              <w:rPr>
                <w:rFonts w:ascii="Arial Narrow" w:hAnsi="Arial Narrow" w:cs="Arial Narrow"/>
                <w:i/>
                <w:iCs/>
                <w:sz w:val="22"/>
                <w:szCs w:val="22"/>
              </w:rPr>
              <w:t xml:space="preserve">Sessions focus on skills, knowledges, and information specifically oriented toward managers and supervisors in a local government setting.  Sessions use a combination of lecture, group activities, self-assessment instruments, role plays, case studies and other hands-on training tools.  Topics may be added or deleted as desired.  Participants receive a notebook with training materials and handouts to keep. </w:t>
            </w:r>
          </w:p>
          <w:p w:rsidR="004D2F1D" w:rsidRPr="00352A14" w:rsidRDefault="004D2F1D">
            <w:pPr>
              <w:jc w:val="both"/>
              <w:rPr>
                <w:rFonts w:ascii="Arial Narrow" w:hAnsi="Arial Narrow" w:cs="Arial Narrow"/>
                <w:i/>
                <w:iCs/>
                <w:sz w:val="22"/>
                <w:szCs w:val="22"/>
              </w:rPr>
            </w:pPr>
          </w:p>
          <w:p w:rsidR="004D2F1D" w:rsidRPr="00352A14" w:rsidRDefault="004D2F1D">
            <w:pPr>
              <w:jc w:val="both"/>
              <w:rPr>
                <w:rFonts w:ascii="Arial Narrow" w:hAnsi="Arial Narrow" w:cs="Arial Narrow"/>
                <w:sz w:val="22"/>
                <w:szCs w:val="22"/>
              </w:rPr>
            </w:pPr>
            <w:r w:rsidRPr="00352A14">
              <w:rPr>
                <w:rFonts w:ascii="Arial Narrow" w:hAnsi="Arial Narrow" w:cs="Arial Narrow"/>
                <w:b/>
                <w:bCs/>
                <w:sz w:val="22"/>
                <w:szCs w:val="22"/>
                <w:u w:val="words"/>
              </w:rPr>
              <w:t>Legal Issues in Local Government Personnel and Supervision.</w:t>
            </w:r>
            <w:r w:rsidRPr="00352A14">
              <w:rPr>
                <w:rFonts w:ascii="Arial Narrow" w:hAnsi="Arial Narrow" w:cs="Arial Narrow"/>
                <w:sz w:val="22"/>
                <w:szCs w:val="22"/>
              </w:rPr>
              <w:t xml:space="preserve">  This section covers protected classes, ADA, FLSA, FMLA, sexual harassment prevention, and other general issues that can create organizational and personal liability for supervisors in hiring, promotion, discipline, dismissal, compensation, leave administration, and other personnel actions.   The session is conducted using an interactive approach that is understandable and interesting for first line</w:t>
            </w:r>
            <w:r>
              <w:rPr>
                <w:rFonts w:ascii="Arial Narrow" w:hAnsi="Arial Narrow" w:cs="Arial Narrow"/>
                <w:sz w:val="22"/>
                <w:szCs w:val="22"/>
              </w:rPr>
              <w:t xml:space="preserve"> </w:t>
            </w:r>
            <w:r w:rsidRPr="00352A14">
              <w:rPr>
                <w:rFonts w:ascii="Arial Narrow" w:hAnsi="Arial Narrow" w:cs="Arial Narrow"/>
                <w:sz w:val="22"/>
                <w:szCs w:val="22"/>
              </w:rPr>
              <w:t>through management levels of supervision. (1 to 2 half-day sessions)</w:t>
            </w:r>
          </w:p>
          <w:p w:rsidR="004D2F1D" w:rsidRPr="00352A14" w:rsidRDefault="004D2F1D">
            <w:pPr>
              <w:jc w:val="both"/>
              <w:rPr>
                <w:rFonts w:ascii="Arial Narrow" w:hAnsi="Arial Narrow" w:cs="Arial Narrow"/>
                <w:sz w:val="22"/>
                <w:szCs w:val="22"/>
              </w:rPr>
            </w:pPr>
          </w:p>
          <w:p w:rsidR="004D2F1D" w:rsidRPr="00352A14" w:rsidRDefault="004D2F1D">
            <w:pPr>
              <w:jc w:val="both"/>
              <w:rPr>
                <w:rFonts w:ascii="Arial Narrow" w:hAnsi="Arial Narrow" w:cs="Arial Narrow"/>
                <w:sz w:val="22"/>
                <w:szCs w:val="22"/>
              </w:rPr>
            </w:pPr>
            <w:r w:rsidRPr="00352A14">
              <w:rPr>
                <w:rFonts w:ascii="Arial Narrow" w:hAnsi="Arial Narrow" w:cs="Arial Narrow"/>
                <w:b/>
                <w:bCs/>
                <w:sz w:val="22"/>
                <w:szCs w:val="22"/>
                <w:u w:val="words"/>
              </w:rPr>
              <w:t>The Supervisor/Manager</w:t>
            </w:r>
            <w:r w:rsidRPr="00352A14">
              <w:rPr>
                <w:rFonts w:ascii="WP TypographicSymbols" w:hAnsi="WP TypographicSymbols" w:cs="WP TypographicSymbols"/>
                <w:b/>
                <w:bCs/>
                <w:sz w:val="22"/>
                <w:szCs w:val="22"/>
                <w:u w:val="words"/>
              </w:rPr>
              <w:t>=</w:t>
            </w:r>
            <w:r w:rsidRPr="00352A14">
              <w:rPr>
                <w:rFonts w:ascii="Arial Narrow" w:hAnsi="Arial Narrow" w:cs="Arial Narrow"/>
                <w:b/>
                <w:bCs/>
                <w:sz w:val="22"/>
                <w:szCs w:val="22"/>
                <w:u w:val="words"/>
              </w:rPr>
              <w:t>s Leadership Role.</w:t>
            </w:r>
            <w:r w:rsidRPr="00352A14">
              <w:rPr>
                <w:rFonts w:ascii="Arial Narrow" w:hAnsi="Arial Narrow" w:cs="Arial Narrow"/>
                <w:sz w:val="22"/>
                <w:szCs w:val="22"/>
              </w:rPr>
              <w:t xml:space="preserve">  This session covers the role of leader in inspiring  high performance and developing self-managed employees.  The result is that close supervision is no longer necessary (empowerment) freeing the supervisor for developing, communicating, and creating a shared vision of excellence. </w:t>
            </w:r>
            <w:r>
              <w:rPr>
                <w:rFonts w:ascii="Arial Narrow" w:hAnsi="Arial Narrow" w:cs="Arial Narrow"/>
                <w:sz w:val="22"/>
                <w:szCs w:val="22"/>
              </w:rPr>
              <w:t xml:space="preserve">The session also covers how to develop an effective team.  </w:t>
            </w:r>
            <w:r w:rsidRPr="00352A14">
              <w:rPr>
                <w:rFonts w:ascii="Arial Narrow" w:hAnsi="Arial Narrow" w:cs="Arial Narrow"/>
                <w:sz w:val="22"/>
                <w:szCs w:val="22"/>
              </w:rPr>
              <w:t xml:space="preserve">Styles of Management Inventory, </w:t>
            </w:r>
            <w:r>
              <w:rPr>
                <w:rFonts w:ascii="Arial Narrow" w:hAnsi="Arial Narrow" w:cs="Arial Narrow"/>
                <w:sz w:val="22"/>
                <w:szCs w:val="22"/>
              </w:rPr>
              <w:t>LPI</w:t>
            </w:r>
            <w:r w:rsidRPr="00352A14">
              <w:rPr>
                <w:rFonts w:ascii="Arial Narrow" w:hAnsi="Arial Narrow" w:cs="Arial Narrow"/>
                <w:sz w:val="22"/>
                <w:szCs w:val="22"/>
              </w:rPr>
              <w:t xml:space="preserve"> and other leadership instruments may be used in this session. (1 to 2 half day sessions)</w:t>
            </w:r>
          </w:p>
          <w:p w:rsidR="004D2F1D" w:rsidRPr="00352A14" w:rsidRDefault="004D2F1D">
            <w:pPr>
              <w:jc w:val="both"/>
              <w:rPr>
                <w:rFonts w:ascii="Arial Narrow" w:hAnsi="Arial Narrow" w:cs="Arial Narrow"/>
                <w:sz w:val="22"/>
                <w:szCs w:val="22"/>
              </w:rPr>
            </w:pPr>
          </w:p>
          <w:p w:rsidR="004D2F1D" w:rsidRPr="00352A14" w:rsidRDefault="004D2F1D">
            <w:pPr>
              <w:jc w:val="both"/>
              <w:rPr>
                <w:rFonts w:ascii="Arial Narrow" w:hAnsi="Arial Narrow" w:cs="Arial Narrow"/>
                <w:b/>
                <w:bCs/>
                <w:sz w:val="22"/>
                <w:szCs w:val="22"/>
                <w:u w:val="words"/>
              </w:rPr>
            </w:pPr>
            <w:r w:rsidRPr="00352A14">
              <w:rPr>
                <w:rFonts w:ascii="Arial Narrow" w:hAnsi="Arial Narrow" w:cs="Arial Narrow"/>
                <w:b/>
                <w:bCs/>
                <w:sz w:val="22"/>
                <w:szCs w:val="22"/>
                <w:u w:val="words"/>
              </w:rPr>
              <w:t>Understanding Human Personality.</w:t>
            </w:r>
            <w:r w:rsidRPr="00352A14">
              <w:rPr>
                <w:rFonts w:ascii="Arial Narrow" w:hAnsi="Arial Narrow" w:cs="Arial Narrow"/>
                <w:sz w:val="22"/>
                <w:szCs w:val="22"/>
              </w:rPr>
              <w:t xml:space="preserve"> Learn how we are different and similar, how to appreciate differences and how to work effectively to build on these differences in teams or relationships.  This session covers the Meyers Briggs Type Inventory and its practical application to the work place. (1 half day session)</w:t>
            </w:r>
          </w:p>
          <w:p w:rsidR="004D2F1D" w:rsidRPr="00352A14" w:rsidRDefault="004D2F1D">
            <w:pPr>
              <w:jc w:val="both"/>
              <w:rPr>
                <w:rFonts w:ascii="Arial Narrow" w:hAnsi="Arial Narrow" w:cs="Arial Narrow"/>
                <w:b/>
                <w:bCs/>
                <w:sz w:val="22"/>
                <w:szCs w:val="22"/>
                <w:u w:val="words"/>
              </w:rPr>
            </w:pPr>
          </w:p>
          <w:p w:rsidR="004D2F1D" w:rsidRPr="00352A14" w:rsidRDefault="004D2F1D">
            <w:pPr>
              <w:jc w:val="both"/>
              <w:rPr>
                <w:rFonts w:ascii="Arial Narrow" w:hAnsi="Arial Narrow" w:cs="Arial Narrow"/>
                <w:b/>
                <w:bCs/>
                <w:sz w:val="22"/>
                <w:szCs w:val="22"/>
                <w:u w:val="words"/>
              </w:rPr>
            </w:pPr>
            <w:r w:rsidRPr="00352A14">
              <w:rPr>
                <w:sz w:val="22"/>
                <w:szCs w:val="22"/>
              </w:rPr>
              <w:br w:type="page"/>
            </w:r>
            <w:r w:rsidRPr="00352A14">
              <w:rPr>
                <w:rFonts w:ascii="Arial Narrow" w:hAnsi="Arial Narrow" w:cs="Arial Narrow"/>
                <w:b/>
                <w:bCs/>
                <w:sz w:val="22"/>
                <w:szCs w:val="22"/>
                <w:u w:val="words"/>
              </w:rPr>
              <w:t>Understanding Human Behavior.</w:t>
            </w:r>
            <w:r w:rsidRPr="00352A14">
              <w:rPr>
                <w:rFonts w:ascii="Arial Narrow" w:hAnsi="Arial Narrow" w:cs="Arial Narrow"/>
                <w:sz w:val="22"/>
                <w:szCs w:val="22"/>
              </w:rPr>
              <w:t xml:space="preserve">  This session examines patterns in which we communicate and engage in problem solving utilizing transactional analysis and the drama triangle.  It teaches methods of identifying ineffective patterns of interactions and how to avoid them. ( 1 - 2 half day sessions)</w:t>
            </w:r>
          </w:p>
          <w:p w:rsidR="004D2F1D" w:rsidRPr="00352A14" w:rsidRDefault="004D2F1D">
            <w:pPr>
              <w:jc w:val="both"/>
              <w:rPr>
                <w:rFonts w:ascii="Arial Narrow" w:hAnsi="Arial Narrow" w:cs="Arial Narrow"/>
                <w:sz w:val="22"/>
                <w:szCs w:val="22"/>
              </w:rPr>
            </w:pPr>
          </w:p>
          <w:p w:rsidR="004D2F1D" w:rsidRDefault="004D2F1D">
            <w:pPr>
              <w:jc w:val="both"/>
              <w:rPr>
                <w:rFonts w:ascii="Arial Narrow" w:hAnsi="Arial Narrow" w:cs="Arial Narrow"/>
                <w:sz w:val="22"/>
                <w:szCs w:val="22"/>
              </w:rPr>
            </w:pPr>
            <w:r w:rsidRPr="00352A14">
              <w:rPr>
                <w:rFonts w:ascii="Arial Narrow" w:hAnsi="Arial Narrow" w:cs="Arial Narrow"/>
                <w:b/>
                <w:bCs/>
                <w:sz w:val="22"/>
                <w:szCs w:val="22"/>
                <w:u w:val="words"/>
              </w:rPr>
              <w:t>Coaching Employees for Performance Improvement.</w:t>
            </w:r>
            <w:r w:rsidRPr="00352A14">
              <w:rPr>
                <w:rFonts w:ascii="Arial Narrow" w:hAnsi="Arial Narrow" w:cs="Arial Narrow"/>
                <w:sz w:val="22"/>
                <w:szCs w:val="22"/>
              </w:rPr>
              <w:t xml:space="preserve">  This session covers how to give feedback in a way that employees find helpful rather than creating defensiveness. </w:t>
            </w:r>
            <w:r>
              <w:rPr>
                <w:rFonts w:ascii="Arial Narrow" w:hAnsi="Arial Narrow" w:cs="Arial Narrow"/>
                <w:sz w:val="22"/>
                <w:szCs w:val="22"/>
              </w:rPr>
              <w:t xml:space="preserve">The session is designed to develop supervisory skills in coaching and feedback so they do not delay or avoid addressing performance issues.  </w:t>
            </w:r>
            <w:r w:rsidRPr="00352A14">
              <w:rPr>
                <w:rFonts w:ascii="Arial Narrow" w:hAnsi="Arial Narrow" w:cs="Arial Narrow"/>
                <w:sz w:val="22"/>
                <w:szCs w:val="22"/>
              </w:rPr>
              <w:t>These techniques are also applicable to the performance evaluation program</w:t>
            </w:r>
            <w:r>
              <w:rPr>
                <w:rFonts w:ascii="Arial Narrow" w:hAnsi="Arial Narrow" w:cs="Arial Narrow"/>
                <w:sz w:val="22"/>
                <w:szCs w:val="22"/>
              </w:rPr>
              <w:t xml:space="preserve"> and/or the disciplinary process</w:t>
            </w:r>
            <w:r w:rsidRPr="00352A14">
              <w:rPr>
                <w:rFonts w:ascii="Arial Narrow" w:hAnsi="Arial Narrow" w:cs="Arial Narrow"/>
                <w:sz w:val="22"/>
                <w:szCs w:val="22"/>
              </w:rPr>
              <w:t>.  (1 half day session)</w:t>
            </w:r>
          </w:p>
          <w:p w:rsidR="004D2F1D" w:rsidRDefault="004D2F1D" w:rsidP="00352A14">
            <w:pPr>
              <w:jc w:val="both"/>
              <w:rPr>
                <w:rFonts w:ascii="Arial Narrow" w:hAnsi="Arial Narrow" w:cs="Arial Narrow"/>
                <w:sz w:val="22"/>
                <w:szCs w:val="22"/>
              </w:rPr>
            </w:pPr>
          </w:p>
          <w:p w:rsidR="004D2F1D" w:rsidRDefault="004D2F1D" w:rsidP="00E02B86">
            <w:pPr>
              <w:jc w:val="both"/>
              <w:rPr>
                <w:rFonts w:ascii="Arial Narrow" w:hAnsi="Arial Narrow" w:cs="Arial Narrow"/>
                <w:sz w:val="22"/>
                <w:szCs w:val="22"/>
              </w:rPr>
            </w:pPr>
            <w:r w:rsidRPr="00352A14">
              <w:rPr>
                <w:rFonts w:ascii="Arial Narrow" w:hAnsi="Arial Narrow" w:cs="Arial Narrow"/>
                <w:b/>
                <w:bCs/>
                <w:sz w:val="22"/>
                <w:szCs w:val="22"/>
                <w:u w:val="words"/>
              </w:rPr>
              <w:t>Making Effective Hiring Decisions.</w:t>
            </w:r>
            <w:r w:rsidRPr="00352A14">
              <w:rPr>
                <w:rFonts w:ascii="Arial Narrow" w:hAnsi="Arial Narrow" w:cs="Arial Narrow"/>
                <w:b/>
                <w:bCs/>
                <w:sz w:val="22"/>
                <w:szCs w:val="22"/>
              </w:rPr>
              <w:t xml:space="preserve">  </w:t>
            </w:r>
            <w:r w:rsidRPr="00352A14">
              <w:rPr>
                <w:rFonts w:ascii="Arial Narrow" w:hAnsi="Arial Narrow" w:cs="Arial Narrow"/>
                <w:sz w:val="22"/>
                <w:szCs w:val="22"/>
              </w:rPr>
              <w:t xml:space="preserve">This session covers the hiring process from start to finish including how to do a job analysis that identifies the knowledges, skills, and abilities, desired; how to write a job announcement and the importance of this step; various strategies and their appropriate and inappropriate use, such as interviews, job sample tests, assessment centers, supplemental application forms, etc.; how to review applications and select candidates for interview; how to write interview questions and specific do's and don'ts for structured interviewing; the importance of the reference check and strategies for it; and the importance of the probationary period. (1 to 2 half-day sessions)  </w:t>
            </w:r>
          </w:p>
          <w:p w:rsidR="004D2F1D" w:rsidRDefault="004D2F1D" w:rsidP="00352A14">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p>
          <w:p w:rsidR="004D2F1D" w:rsidRPr="00352A14" w:rsidRDefault="004D2F1D" w:rsidP="00352A14">
            <w:pPr>
              <w:jc w:val="both"/>
              <w:rPr>
                <w:rFonts w:ascii="Arial Narrow" w:hAnsi="Arial Narrow" w:cs="Arial Narrow"/>
                <w:sz w:val="22"/>
                <w:szCs w:val="22"/>
              </w:rPr>
            </w:pPr>
          </w:p>
          <w:p w:rsidR="004D2F1D" w:rsidRPr="00352A14" w:rsidRDefault="004D2F1D" w:rsidP="001C1F1F">
            <w:pPr>
              <w:jc w:val="both"/>
              <w:rPr>
                <w:rFonts w:ascii="Arial Narrow" w:hAnsi="Arial Narrow" w:cs="Arial Narrow"/>
                <w:sz w:val="22"/>
                <w:szCs w:val="22"/>
              </w:rPr>
            </w:pPr>
          </w:p>
          <w:p w:rsidR="004D2F1D" w:rsidRDefault="004D2F1D">
            <w:pPr>
              <w:jc w:val="both"/>
              <w:rPr>
                <w:sz w:val="22"/>
                <w:szCs w:val="22"/>
              </w:rPr>
            </w:pPr>
          </w:p>
        </w:tc>
      </w:tr>
    </w:tbl>
    <w:p w:rsidR="004D2F1D" w:rsidRDefault="004D2F1D">
      <w:pPr>
        <w:rPr>
          <w:sz w:val="22"/>
          <w:szCs w:val="22"/>
        </w:rPr>
        <w:sectPr w:rsidR="004D2F1D" w:rsidSect="001C1F1F">
          <w:type w:val="continuous"/>
          <w:pgSz w:w="12240" w:h="15840"/>
          <w:pgMar w:top="1152" w:right="1152" w:bottom="1296" w:left="1152" w:header="1440" w:footer="1440" w:gutter="0"/>
          <w:cols w:space="720"/>
        </w:sectPr>
      </w:pPr>
    </w:p>
    <w:p w:rsidR="004D2F1D" w:rsidRDefault="004D2F1D" w:rsidP="00352A14">
      <w:pPr>
        <w:jc w:val="both"/>
        <w:rPr>
          <w:rFonts w:ascii="Arial Narrow" w:hAnsi="Arial Narrow" w:cs="Arial Narrow"/>
          <w:sz w:val="22"/>
          <w:szCs w:val="22"/>
        </w:rPr>
      </w:pPr>
    </w:p>
    <w:p w:rsidR="004D2F1D" w:rsidRPr="00352A14" w:rsidRDefault="004D2F1D" w:rsidP="00352A14">
      <w:pPr>
        <w:jc w:val="both"/>
        <w:rPr>
          <w:rFonts w:ascii="Arial Narrow" w:hAnsi="Arial Narrow" w:cs="Arial Narrow"/>
          <w:sz w:val="22"/>
          <w:szCs w:val="22"/>
        </w:rPr>
      </w:pPr>
      <w:r>
        <w:rPr>
          <w:rFonts w:ascii="Arial Narrow" w:hAnsi="Arial Narrow" w:cs="Arial Narrow"/>
          <w:b/>
          <w:sz w:val="22"/>
          <w:szCs w:val="22"/>
          <w:u w:val="single"/>
        </w:rPr>
        <w:t>Managing Multiple Generation.</w:t>
      </w:r>
      <w:r>
        <w:rPr>
          <w:rFonts w:ascii="Arial Narrow" w:hAnsi="Arial Narrow" w:cs="Arial Narrow"/>
          <w:sz w:val="22"/>
          <w:szCs w:val="22"/>
        </w:rPr>
        <w:t xml:space="preserve">  This session provides an understanding of how the cultural and historic activities while we are growing up significantly impact our values and expectations, the importance of working effectively with multiple generations in the workforce, how different generations are motivated by different things, and how to work together effectively.</w:t>
      </w:r>
    </w:p>
    <w:p w:rsidR="004D2F1D" w:rsidRPr="00352A14" w:rsidRDefault="004D2F1D" w:rsidP="00B433E1">
      <w:pPr>
        <w:jc w:val="both"/>
        <w:rPr>
          <w:rFonts w:ascii="Arial Narrow" w:hAnsi="Arial Narrow" w:cs="Arial Narrow"/>
          <w:sz w:val="22"/>
          <w:szCs w:val="22"/>
        </w:rPr>
      </w:pPr>
    </w:p>
    <w:p w:rsidR="004D2F1D" w:rsidRPr="00352A14" w:rsidRDefault="004D2F1D" w:rsidP="00B433E1">
      <w:pPr>
        <w:jc w:val="both"/>
        <w:rPr>
          <w:rFonts w:ascii="Arial Narrow" w:hAnsi="Arial Narrow" w:cs="Arial Narrow"/>
          <w:sz w:val="22"/>
          <w:szCs w:val="22"/>
        </w:rPr>
      </w:pPr>
      <w:r w:rsidRPr="00352A14">
        <w:rPr>
          <w:rFonts w:ascii="Arial Narrow" w:hAnsi="Arial Narrow" w:cs="Arial Narrow"/>
          <w:b/>
          <w:bCs/>
          <w:sz w:val="22"/>
          <w:szCs w:val="22"/>
          <w:u w:val="words"/>
        </w:rPr>
        <w:t>Using Your Discipline, Dismissal, and Grievance Procedures.</w:t>
      </w:r>
      <w:r w:rsidRPr="00352A14">
        <w:rPr>
          <w:rFonts w:ascii="Arial Narrow" w:hAnsi="Arial Narrow" w:cs="Arial Narrow"/>
          <w:sz w:val="22"/>
          <w:szCs w:val="22"/>
        </w:rPr>
        <w:t xml:space="preserve">  This session covers effective use of discipline as a positive factor rather than as punishment, treating employees like adults rather than children so they behave as adults.  The session also covers how to write a warning, conduct a pre-dismissal conference and write a dismissal letter, and effective grievance procedure administration. </w:t>
      </w:r>
      <w:r>
        <w:rPr>
          <w:rFonts w:ascii="Arial Narrow" w:hAnsi="Arial Narrow" w:cs="Arial Narrow"/>
          <w:sz w:val="22"/>
          <w:szCs w:val="22"/>
        </w:rPr>
        <w:t xml:space="preserve">  The Coaching  session is recommended as a prerequisite to this session. </w:t>
      </w:r>
      <w:r w:rsidRPr="00352A14">
        <w:rPr>
          <w:rFonts w:ascii="Arial Narrow" w:hAnsi="Arial Narrow" w:cs="Arial Narrow"/>
          <w:sz w:val="22"/>
          <w:szCs w:val="22"/>
        </w:rPr>
        <w:t xml:space="preserve"> (1 to 2 half-day sessions)</w:t>
      </w:r>
    </w:p>
    <w:p w:rsidR="004D2F1D" w:rsidRPr="00352A14" w:rsidRDefault="004D2F1D" w:rsidP="00B433E1">
      <w:pPr>
        <w:jc w:val="both"/>
        <w:rPr>
          <w:rFonts w:ascii="Arial Narrow" w:hAnsi="Arial Narrow" w:cs="Arial Narrow"/>
          <w:b/>
          <w:bCs/>
          <w:sz w:val="22"/>
          <w:szCs w:val="22"/>
          <w:u w:val="words"/>
        </w:rPr>
      </w:pPr>
    </w:p>
    <w:p w:rsidR="004D2F1D" w:rsidRPr="00352A14" w:rsidRDefault="004D2F1D" w:rsidP="00083E89">
      <w:pPr>
        <w:jc w:val="both"/>
        <w:rPr>
          <w:rFonts w:ascii="Arial Narrow" w:hAnsi="Arial Narrow" w:cs="Arial Narrow"/>
          <w:sz w:val="22"/>
          <w:szCs w:val="22"/>
        </w:rPr>
      </w:pPr>
      <w:r w:rsidRPr="00352A14">
        <w:rPr>
          <w:rFonts w:ascii="Arial Narrow" w:hAnsi="Arial Narrow" w:cs="Arial Narrow"/>
          <w:b/>
          <w:bCs/>
          <w:sz w:val="22"/>
          <w:szCs w:val="22"/>
          <w:u w:val="words"/>
        </w:rPr>
        <w:t>Motivation.</w:t>
      </w:r>
      <w:r w:rsidRPr="00352A14">
        <w:rPr>
          <w:rFonts w:ascii="Arial Narrow" w:hAnsi="Arial Narrow" w:cs="Arial Narrow"/>
          <w:sz w:val="22"/>
          <w:szCs w:val="22"/>
        </w:rPr>
        <w:t xml:space="preserve">    Learn what motivates and de-motivates humans in the work place and what a supervisor can do to influence an employee's motivation positively.  Learn what the phrase "boss watching means" and how to use this knowledge as a supervisor to positively influence employees. This session also explores how the assumptions supervisors make about people at work influence their actions leading to positive or negative results.  This classic of supervisory knowledge covers Maslow's hierarchy of needs, Hertzberg's motivational system, self-fulfilling prophesy, and McGregor's Theory X and Theory Y among other basics.  (1 - 2 half day sessions)</w:t>
      </w:r>
    </w:p>
    <w:p w:rsidR="004D2F1D" w:rsidRPr="00352A14" w:rsidRDefault="004D2F1D">
      <w:pPr>
        <w:jc w:val="both"/>
        <w:rPr>
          <w:rFonts w:ascii="Arial Narrow" w:hAnsi="Arial Narrow" w:cs="Arial Narrow"/>
          <w:sz w:val="22"/>
          <w:szCs w:val="22"/>
        </w:rPr>
      </w:pPr>
    </w:p>
    <w:p w:rsidR="004D2F1D" w:rsidRDefault="004D2F1D" w:rsidP="00301AE8">
      <w:pPr>
        <w:jc w:val="both"/>
        <w:rPr>
          <w:rFonts w:ascii="Arial Narrow" w:hAnsi="Arial Narrow" w:cs="Arial Narrow"/>
          <w:sz w:val="22"/>
          <w:szCs w:val="22"/>
        </w:rPr>
      </w:pPr>
      <w:r w:rsidRPr="00352A14">
        <w:rPr>
          <w:rFonts w:ascii="Arial Narrow" w:hAnsi="Arial Narrow" w:cs="Arial Narrow"/>
          <w:b/>
          <w:bCs/>
          <w:sz w:val="22"/>
          <w:szCs w:val="22"/>
          <w:u w:val="words"/>
        </w:rPr>
        <w:t>Conflict Resolution Skills</w:t>
      </w:r>
      <w:r w:rsidRPr="00352A14">
        <w:rPr>
          <w:rFonts w:ascii="Arial Narrow" w:hAnsi="Arial Narrow" w:cs="Arial Narrow"/>
          <w:sz w:val="22"/>
          <w:szCs w:val="22"/>
        </w:rPr>
        <w:t xml:space="preserve">.  Learn how to diagnose and choose an effective strategy for preventing and resolving conflict and specific communications skills for use in </w:t>
      </w:r>
      <w:r>
        <w:rPr>
          <w:rFonts w:ascii="Arial Narrow" w:hAnsi="Arial Narrow" w:cs="Arial Narrow"/>
          <w:sz w:val="22"/>
          <w:szCs w:val="22"/>
        </w:rPr>
        <w:t xml:space="preserve">personal, team, and/or </w:t>
      </w:r>
      <w:r w:rsidRPr="00352A14">
        <w:rPr>
          <w:rFonts w:ascii="Arial Narrow" w:hAnsi="Arial Narrow" w:cs="Arial Narrow"/>
          <w:sz w:val="22"/>
          <w:szCs w:val="22"/>
        </w:rPr>
        <w:t xml:space="preserve">employee </w:t>
      </w:r>
      <w:r>
        <w:rPr>
          <w:rFonts w:ascii="Arial Narrow" w:hAnsi="Arial Narrow" w:cs="Arial Narrow"/>
          <w:sz w:val="22"/>
          <w:szCs w:val="22"/>
        </w:rPr>
        <w:t xml:space="preserve">communication and </w:t>
      </w:r>
      <w:r w:rsidRPr="00352A14">
        <w:rPr>
          <w:rFonts w:ascii="Arial Narrow" w:hAnsi="Arial Narrow" w:cs="Arial Narrow"/>
          <w:sz w:val="22"/>
          <w:szCs w:val="22"/>
        </w:rPr>
        <w:t>conflict resolution, facilitating meetings, or to improve one on one communications. (1 to 2 half day sessions)</w:t>
      </w:r>
    </w:p>
    <w:p w:rsidR="004D2F1D" w:rsidRPr="00352A14" w:rsidRDefault="004D2F1D" w:rsidP="00301AE8">
      <w:pPr>
        <w:jc w:val="both"/>
        <w:rPr>
          <w:rFonts w:ascii="Arial Narrow" w:hAnsi="Arial Narrow" w:cs="Arial Narrow"/>
          <w:sz w:val="22"/>
          <w:szCs w:val="22"/>
        </w:rPr>
      </w:pPr>
    </w:p>
    <w:p w:rsidR="004D2F1D" w:rsidRPr="00352A14" w:rsidRDefault="004D2F1D" w:rsidP="0062408F">
      <w:pPr>
        <w:jc w:val="both"/>
        <w:rPr>
          <w:rFonts w:ascii="Arial Narrow" w:hAnsi="Arial Narrow" w:cs="Arial Narrow"/>
          <w:sz w:val="22"/>
          <w:szCs w:val="22"/>
        </w:rPr>
      </w:pPr>
      <w:r w:rsidRPr="00352A14">
        <w:rPr>
          <w:rFonts w:ascii="Arial Narrow" w:hAnsi="Arial Narrow" w:cs="Arial Narrow"/>
          <w:b/>
          <w:bCs/>
          <w:sz w:val="22"/>
          <w:szCs w:val="22"/>
          <w:u w:val="words"/>
        </w:rPr>
        <w:t>Diversity in the Workplace</w:t>
      </w:r>
      <w:r w:rsidRPr="00352A14">
        <w:rPr>
          <w:rFonts w:ascii="Arial Narrow" w:hAnsi="Arial Narrow" w:cs="Arial Narrow"/>
          <w:b/>
          <w:bCs/>
          <w:sz w:val="22"/>
          <w:szCs w:val="22"/>
        </w:rPr>
        <w:t>.</w:t>
      </w:r>
      <w:r w:rsidRPr="00352A14">
        <w:rPr>
          <w:rFonts w:ascii="Arial Narrow" w:hAnsi="Arial Narrow" w:cs="Arial Narrow"/>
          <w:sz w:val="22"/>
          <w:szCs w:val="22"/>
        </w:rPr>
        <w:t xml:space="preserve">  This session focuses on understanding others, sensitivity to and appreciation of differences, and seeing things from the perspective of others.  Topics include gender, racial, cultural, religious and other diversity issues.</w:t>
      </w:r>
      <w:r>
        <w:rPr>
          <w:rFonts w:ascii="Arial Narrow" w:hAnsi="Arial Narrow" w:cs="Arial Narrow"/>
          <w:sz w:val="22"/>
          <w:szCs w:val="22"/>
        </w:rPr>
        <w:t xml:space="preserve">  The topic can be provided for managers and supervisors and/or for employees</w:t>
      </w:r>
      <w:r w:rsidRPr="00352A14">
        <w:rPr>
          <w:rFonts w:ascii="Arial Narrow" w:hAnsi="Arial Narrow" w:cs="Arial Narrow"/>
          <w:sz w:val="22"/>
          <w:szCs w:val="22"/>
        </w:rPr>
        <w:t xml:space="preserve"> (1 to 2 half-day session)</w:t>
      </w:r>
    </w:p>
    <w:p w:rsidR="004D2F1D" w:rsidRPr="00352A14" w:rsidRDefault="004D2F1D" w:rsidP="0062408F">
      <w:pPr>
        <w:jc w:val="both"/>
        <w:rPr>
          <w:rFonts w:ascii="Arial Narrow" w:hAnsi="Arial Narrow" w:cs="Arial Narrow"/>
          <w:sz w:val="22"/>
          <w:szCs w:val="22"/>
        </w:rPr>
      </w:pPr>
    </w:p>
    <w:p w:rsidR="004D2F1D" w:rsidRDefault="004D2F1D" w:rsidP="00352A14">
      <w:pPr>
        <w:jc w:val="both"/>
        <w:rPr>
          <w:rFonts w:ascii="Arial Narrow" w:hAnsi="Arial Narrow" w:cs="Arial Narrow"/>
          <w:sz w:val="22"/>
          <w:szCs w:val="22"/>
        </w:rPr>
      </w:pPr>
      <w:r w:rsidRPr="00352A14">
        <w:rPr>
          <w:rFonts w:ascii="Arial Narrow" w:hAnsi="Arial Narrow" w:cs="Arial Narrow"/>
          <w:b/>
          <w:bCs/>
          <w:sz w:val="22"/>
          <w:szCs w:val="22"/>
          <w:u w:val="words"/>
        </w:rPr>
        <w:t>Conducting Effective Performance Evaluation Conferences.</w:t>
      </w:r>
      <w:r w:rsidRPr="00352A14">
        <w:rPr>
          <w:rFonts w:ascii="Arial Narrow" w:hAnsi="Arial Narrow" w:cs="Arial Narrow"/>
          <w:sz w:val="22"/>
          <w:szCs w:val="22"/>
        </w:rPr>
        <w:t xml:space="preserve">  This topic covers how to plan and conduct a performance evaluation conference that employees and supervisors can feel good about.  The focus is on two-way open communication designed to bring about a meeting of the minds on what an employee is doing well, what he or she can improve upon, and where he or she stands in terms of overall performance.  This session builds on the communications, conflict resolution, motivations, and coaching sessions to bring these skills together for performance review.  Therefore, these courses are considered prerequisites. (1</w:t>
      </w:r>
      <w:r>
        <w:rPr>
          <w:rFonts w:ascii="Arial Narrow" w:hAnsi="Arial Narrow" w:cs="Arial Narrow"/>
          <w:sz w:val="22"/>
          <w:szCs w:val="22"/>
        </w:rPr>
        <w:t xml:space="preserve"> to 2 half </w:t>
      </w:r>
      <w:r w:rsidRPr="00352A14">
        <w:rPr>
          <w:rFonts w:ascii="Arial Narrow" w:hAnsi="Arial Narrow" w:cs="Arial Narrow"/>
          <w:sz w:val="22"/>
          <w:szCs w:val="22"/>
        </w:rPr>
        <w:t>day session</w:t>
      </w:r>
      <w:r>
        <w:rPr>
          <w:rFonts w:ascii="Arial Narrow" w:hAnsi="Arial Narrow" w:cs="Arial Narrow"/>
          <w:sz w:val="22"/>
          <w:szCs w:val="22"/>
        </w:rPr>
        <w:t>s</w:t>
      </w:r>
      <w:r w:rsidRPr="00352A14">
        <w:rPr>
          <w:rFonts w:ascii="Arial Narrow" w:hAnsi="Arial Narrow" w:cs="Arial Narrow"/>
          <w:sz w:val="22"/>
          <w:szCs w:val="22"/>
        </w:rPr>
        <w:t>)</w:t>
      </w:r>
    </w:p>
    <w:p w:rsidR="004D2F1D" w:rsidRDefault="004D2F1D" w:rsidP="00AB05E2">
      <w:pPr>
        <w:jc w:val="both"/>
        <w:rPr>
          <w:rFonts w:ascii="Arial Narrow" w:hAnsi="Arial Narrow" w:cs="Arial Narrow"/>
          <w:sz w:val="22"/>
          <w:szCs w:val="22"/>
        </w:rPr>
      </w:pPr>
    </w:p>
    <w:p w:rsidR="004D2F1D" w:rsidRDefault="004D2F1D" w:rsidP="00AB05E2">
      <w:pPr>
        <w:jc w:val="both"/>
        <w:rPr>
          <w:rFonts w:ascii="Arial Narrow" w:hAnsi="Arial Narrow" w:cs="Arial Narrow"/>
          <w:sz w:val="22"/>
          <w:szCs w:val="22"/>
        </w:rPr>
      </w:pPr>
      <w:r>
        <w:rPr>
          <w:rFonts w:ascii="Arial Narrow" w:hAnsi="Arial Narrow" w:cs="Arial Narrow"/>
          <w:b/>
          <w:sz w:val="22"/>
          <w:szCs w:val="22"/>
          <w:u w:val="single"/>
        </w:rPr>
        <w:t>Preventing Workplace Harassment for Employees.</w:t>
      </w:r>
      <w:r>
        <w:rPr>
          <w:rFonts w:ascii="Arial Narrow" w:hAnsi="Arial Narrow" w:cs="Arial Narrow"/>
          <w:sz w:val="22"/>
          <w:szCs w:val="22"/>
        </w:rPr>
        <w:t xml:space="preserve">  This session takes approximately 1.5 hours and can be provided in groups of up to 50 at a time.</w:t>
      </w:r>
    </w:p>
    <w:p w:rsidR="004D2F1D" w:rsidRDefault="004D2F1D" w:rsidP="00301AE8">
      <w:pPr>
        <w:jc w:val="both"/>
        <w:rPr>
          <w:rFonts w:ascii="Arial Narrow" w:hAnsi="Arial Narrow" w:cs="Arial Narrow"/>
          <w:sz w:val="22"/>
          <w:szCs w:val="22"/>
        </w:rPr>
      </w:pPr>
    </w:p>
    <w:p w:rsidR="004D2F1D" w:rsidRPr="00352A14" w:rsidRDefault="004D2F1D" w:rsidP="00352A14">
      <w:pPr>
        <w:jc w:val="both"/>
        <w:rPr>
          <w:rFonts w:ascii="Arial Narrow" w:hAnsi="Arial Narrow" w:cs="Arial Narrow"/>
          <w:sz w:val="22"/>
          <w:szCs w:val="22"/>
        </w:rPr>
      </w:pPr>
      <w:r>
        <w:rPr>
          <w:rFonts w:ascii="Arial Narrow" w:hAnsi="Arial Narrow" w:cs="Arial Narrow"/>
          <w:sz w:val="22"/>
          <w:szCs w:val="22"/>
        </w:rPr>
        <w:t>For most topics, we recommend groups of no more than 30 to allow for group discussions, small group work and quality interactions.  We will work with you to design the course best suited to your needs.</w:t>
      </w:r>
    </w:p>
    <w:sectPr w:rsidR="004D2F1D" w:rsidRPr="00352A14" w:rsidSect="00352A14">
      <w:type w:val="continuous"/>
      <w:pgSz w:w="12240" w:h="15840"/>
      <w:pgMar w:top="1440" w:right="1152" w:bottom="1152" w:left="1440" w:header="1440" w:footer="144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Narrow">
    <w:panose1 w:val="020B0506020202030204"/>
    <w:charset w:val="00"/>
    <w:family w:val="swiss"/>
    <w:pitch w:val="variable"/>
    <w:sig w:usb0="00000287" w:usb1="000008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WP TypographicSymbols">
    <w:altName w:val="Courier New"/>
    <w:panose1 w:val="000004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bordersDoNotSurroundHeader/>
  <w:bordersDoNotSurroundFooter/>
  <w:stylePaneFormatFilter w:val="3F01"/>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usePrinterMetric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33D14"/>
    <w:rsid w:val="00083E89"/>
    <w:rsid w:val="000939A3"/>
    <w:rsid w:val="0010000D"/>
    <w:rsid w:val="00104987"/>
    <w:rsid w:val="00174EA7"/>
    <w:rsid w:val="001931CD"/>
    <w:rsid w:val="001C1F1F"/>
    <w:rsid w:val="00273613"/>
    <w:rsid w:val="002E0753"/>
    <w:rsid w:val="00301AE8"/>
    <w:rsid w:val="00352A14"/>
    <w:rsid w:val="00386463"/>
    <w:rsid w:val="00415098"/>
    <w:rsid w:val="00442C9B"/>
    <w:rsid w:val="00460340"/>
    <w:rsid w:val="004B0370"/>
    <w:rsid w:val="004D2F1D"/>
    <w:rsid w:val="005C05A2"/>
    <w:rsid w:val="0062408F"/>
    <w:rsid w:val="006A0BB8"/>
    <w:rsid w:val="009F5D3D"/>
    <w:rsid w:val="00A8402B"/>
    <w:rsid w:val="00AB05E2"/>
    <w:rsid w:val="00AF16B3"/>
    <w:rsid w:val="00B2089F"/>
    <w:rsid w:val="00B433E1"/>
    <w:rsid w:val="00BA0897"/>
    <w:rsid w:val="00C36857"/>
    <w:rsid w:val="00C40084"/>
    <w:rsid w:val="00C97412"/>
    <w:rsid w:val="00E02B86"/>
    <w:rsid w:val="00E33D14"/>
    <w:rsid w:val="00E86A9B"/>
    <w:rsid w:val="00EB1657"/>
    <w:rsid w:val="00EC70F7"/>
    <w:rsid w:val="00F60177"/>
    <w:rsid w:val="00F90B4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sz w:val="20"/>
      <w:szCs w:val="20"/>
    </w:rPr>
  </w:style>
  <w:style w:type="paragraph" w:styleId="Heading1">
    <w:name w:val="heading 1"/>
    <w:basedOn w:val="Normal"/>
    <w:next w:val="Normal"/>
    <w:link w:val="Heading1Char"/>
    <w:uiPriority w:val="99"/>
    <w:qFormat/>
    <w:rsid w:val="00E33D14"/>
    <w:pPr>
      <w:keepNext/>
      <w:outlineLvl w:val="0"/>
    </w:pPr>
    <w:rPr>
      <w:rFonts w:ascii="Arial Narrow" w:hAnsi="Arial Narrow" w:cs="Arial Narrow"/>
      <w:b/>
      <w:bCs/>
      <w:color w:val="0000FF"/>
      <w:sz w:val="24"/>
      <w:szCs w:val="24"/>
    </w:rPr>
  </w:style>
  <w:style w:type="paragraph" w:styleId="Heading2">
    <w:name w:val="heading 2"/>
    <w:basedOn w:val="Normal"/>
    <w:next w:val="Normal"/>
    <w:link w:val="Heading2Char"/>
    <w:uiPriority w:val="99"/>
    <w:qFormat/>
    <w:rsid w:val="00104987"/>
    <w:pPr>
      <w:keepNext/>
      <w:jc w:val="right"/>
      <w:outlineLvl w:val="1"/>
    </w:pPr>
    <w:rPr>
      <w:rFonts w:ascii="Monotype Corsiva" w:hAnsi="Monotype Corsiva" w:cs="Arial"/>
      <w:b/>
      <w:bCs/>
      <w:i/>
      <w:iCs/>
      <w:color w:val="0000FF"/>
      <w:sz w:val="44"/>
      <w:szCs w:val="4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1A8A"/>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51A8A"/>
    <w:rPr>
      <w:rFonts w:asciiTheme="majorHAnsi" w:eastAsiaTheme="majorEastAsia" w:hAnsiTheme="majorHAnsi" w:cstheme="majorBidi"/>
      <w:b/>
      <w:bCs/>
      <w:i/>
      <w:iCs/>
      <w:sz w:val="28"/>
      <w:szCs w:val="28"/>
    </w:rPr>
  </w:style>
  <w:style w:type="character" w:customStyle="1" w:styleId="DefaultPara">
    <w:name w:val="Default Para"/>
    <w:uiPriority w:val="99"/>
  </w:style>
  <w:style w:type="paragraph" w:styleId="BalloonText">
    <w:name w:val="Balloon Text"/>
    <w:basedOn w:val="Normal"/>
    <w:link w:val="BalloonTextChar"/>
    <w:uiPriority w:val="99"/>
    <w:semiHidden/>
    <w:rsid w:val="001C1F1F"/>
    <w:rPr>
      <w:rFonts w:ascii="Tahoma" w:hAnsi="Tahoma" w:cs="Tahoma"/>
      <w:sz w:val="16"/>
      <w:szCs w:val="16"/>
    </w:rPr>
  </w:style>
  <w:style w:type="character" w:customStyle="1" w:styleId="BalloonTextChar">
    <w:name w:val="Balloon Text Char"/>
    <w:basedOn w:val="DefaultParagraphFont"/>
    <w:link w:val="BalloonText"/>
    <w:uiPriority w:val="99"/>
    <w:semiHidden/>
    <w:rsid w:val="00F51A8A"/>
    <w:rPr>
      <w:sz w:val="0"/>
      <w:szCs w:val="0"/>
    </w:rPr>
  </w:style>
  <w:style w:type="character" w:styleId="Hyperlink">
    <w:name w:val="Hyperlink"/>
    <w:basedOn w:val="DefaultParagraphFont"/>
    <w:uiPriority w:val="99"/>
    <w:rsid w:val="000939A3"/>
    <w:rPr>
      <w:color w:val="0000FF"/>
      <w:u w:val="single"/>
    </w:rPr>
  </w:style>
  <w:style w:type="paragraph" w:styleId="BodyText">
    <w:name w:val="Body Text"/>
    <w:basedOn w:val="Normal"/>
    <w:link w:val="BodyTextChar"/>
    <w:uiPriority w:val="99"/>
    <w:rsid w:val="00460340"/>
    <w:pPr>
      <w:jc w:val="right"/>
    </w:pPr>
    <w:rPr>
      <w:rFonts w:ascii="Arial" w:hAnsi="Arial" w:cs="Arial"/>
      <w:color w:val="0000FF"/>
      <w:sz w:val="18"/>
      <w:szCs w:val="18"/>
    </w:rPr>
  </w:style>
  <w:style w:type="character" w:customStyle="1" w:styleId="BodyTextChar">
    <w:name w:val="Body Text Char"/>
    <w:basedOn w:val="DefaultParagraphFont"/>
    <w:link w:val="BodyText"/>
    <w:uiPriority w:val="99"/>
    <w:semiHidden/>
    <w:rsid w:val="00F51A8A"/>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AppData/Local/Microsoft/Windows/INetCache/Content.Outlook/TD1Q5V3R/themapsgroup.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1026</Words>
  <Characters>5850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MAPS</dc:title>
  <dc:subject/>
  <dc:creator>Pat Thomas</dc:creator>
  <cp:keywords/>
  <dc:description/>
  <cp:lastModifiedBy>Rebecca Veazey</cp:lastModifiedBy>
  <cp:revision>2</cp:revision>
  <cp:lastPrinted>2014-03-05T04:41:00Z</cp:lastPrinted>
  <dcterms:created xsi:type="dcterms:W3CDTF">2022-01-27T17:22:00Z</dcterms:created>
  <dcterms:modified xsi:type="dcterms:W3CDTF">2022-01-27T17:22:00Z</dcterms:modified>
</cp:coreProperties>
</file>